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Cs/>
          <w:sz w:val="44"/>
          <w:szCs w:val="44"/>
        </w:rPr>
      </w:pPr>
      <w:bookmarkStart w:id="0" w:name="_GoBack"/>
      <w:bookmarkEnd w:id="0"/>
      <w:r>
        <w:rPr>
          <w:rFonts w:hint="eastAsia" w:ascii="方正小标宋简体" w:hAnsi="宋体" w:eastAsia="方正小标宋简体"/>
          <w:bCs/>
          <w:sz w:val="44"/>
          <w:szCs w:val="44"/>
        </w:rPr>
        <w:t>数学与统计学院2020年硕士研究生招生复试工作细则</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按照《教育部关于印发&lt;2020年全国硕士研究生招生工作管理规定&gt;的通知》（教学函[2019]6号）、《吉林省2020年全国硕士研究生复试工作组织实施方案》、《长春工业大学2020年硕士研究生招生复试录取工作方案》等文件精神和吉林省关于疫情防控工作的决策部署，在充分认识2020年硕士研究生招生工作面临的新形势的基础上，结合我院实际情况，确保复试录取工作程序严谨，操作规范，制定2020年硕士研究生招生复试实施细则。</w:t>
      </w:r>
    </w:p>
    <w:p>
      <w:pPr>
        <w:pStyle w:val="7"/>
        <w:wordWrap w:val="0"/>
        <w:spacing w:line="540" w:lineRule="atLeast"/>
        <w:ind w:firstLine="640"/>
        <w:rPr>
          <w:rStyle w:val="11"/>
          <w:rFonts w:ascii="黑体" w:hAnsi="黑体" w:eastAsia="黑体" w:cstheme="minorEastAsia"/>
          <w:b w:val="0"/>
          <w:sz w:val="32"/>
          <w:szCs w:val="32"/>
        </w:rPr>
      </w:pPr>
      <w:r>
        <w:rPr>
          <w:rStyle w:val="11"/>
          <w:rFonts w:hint="eastAsia" w:ascii="黑体" w:hAnsi="黑体" w:eastAsia="黑体" w:cstheme="minorEastAsia"/>
          <w:b w:val="0"/>
          <w:sz w:val="32"/>
          <w:szCs w:val="32"/>
        </w:rPr>
        <w:t>一、复试工作的实施原则及指导思想</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树立科学的人才选拔理念，坚持能力与知识考核并重,着力加强对考生创新能力和专业素养的考查，注重考生一贯表现，既重视初试成绩，也重视既往学业表现和潜在能力素质。公开透明地完成2020年硕士研究生招生复试录取工作。加强领导、强化监督，确保复试工作安全、公平公正、确保科学性，使其复试工作平稳顺利。</w:t>
      </w:r>
    </w:p>
    <w:p>
      <w:pPr>
        <w:ind w:firstLine="640" w:firstLineChars="200"/>
        <w:rPr>
          <w:rStyle w:val="11"/>
          <w:rFonts w:ascii="黑体" w:hAnsi="黑体" w:eastAsia="黑体" w:cstheme="minorEastAsia"/>
          <w:b w:val="0"/>
          <w:kern w:val="0"/>
          <w:sz w:val="32"/>
          <w:szCs w:val="32"/>
        </w:rPr>
      </w:pPr>
      <w:r>
        <w:rPr>
          <w:rStyle w:val="11"/>
          <w:rFonts w:hint="eastAsia" w:ascii="黑体" w:hAnsi="黑体" w:eastAsia="黑体" w:cstheme="minorEastAsia"/>
          <w:b w:val="0"/>
          <w:kern w:val="0"/>
          <w:sz w:val="32"/>
          <w:szCs w:val="32"/>
        </w:rPr>
        <w:t>二、组织管理</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学院成立研究生招生工作领导小组，按照学校本年度硕士研究生复试录取工作安排，负责具体落实本学院的研究生复试和录取工作。</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学院按招生专业按复试考生人数组织成立若干复试小组，复试小组不少于5人，在学校研究生招生工作领导小组和学院研究生招生工作领导小组的指导下具体实施复试工作。</w:t>
      </w:r>
    </w:p>
    <w:p>
      <w:pPr>
        <w:ind w:left="640"/>
        <w:rPr>
          <w:rStyle w:val="11"/>
          <w:rFonts w:ascii="黑体" w:hAnsi="黑体" w:eastAsia="黑体" w:cstheme="minorEastAsia"/>
          <w:b w:val="0"/>
          <w:kern w:val="0"/>
          <w:sz w:val="32"/>
          <w:szCs w:val="32"/>
        </w:rPr>
      </w:pPr>
      <w:r>
        <w:rPr>
          <w:rStyle w:val="11"/>
          <w:rFonts w:hint="eastAsia" w:ascii="黑体" w:hAnsi="黑体" w:eastAsia="黑体" w:cstheme="minorEastAsia"/>
          <w:b w:val="0"/>
          <w:kern w:val="0"/>
          <w:sz w:val="32"/>
          <w:szCs w:val="32"/>
        </w:rPr>
        <w:t>三、复试管理</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1.学院根据学校要求对所有复试工作人员进行培训、强化安全意识、保密意识、责任意识和法治意识。</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2.学院科学设计复试流程，做到“随机确定考生复试次序”、“随机确定导师组组成人员”、“随机抽取复试试题”。</w:t>
      </w:r>
    </w:p>
    <w:p>
      <w:pPr>
        <w:ind w:firstLine="640" w:firstLineChars="200"/>
        <w:rPr>
          <w:rStyle w:val="11"/>
          <w:rFonts w:ascii="黑体" w:hAnsi="黑体" w:eastAsia="黑体" w:cstheme="minorEastAsia"/>
          <w:b w:val="0"/>
          <w:kern w:val="0"/>
          <w:sz w:val="32"/>
          <w:szCs w:val="32"/>
        </w:rPr>
      </w:pPr>
      <w:r>
        <w:rPr>
          <w:rStyle w:val="11"/>
          <w:rFonts w:hint="eastAsia" w:ascii="黑体" w:hAnsi="黑体" w:eastAsia="黑体" w:cstheme="minorEastAsia"/>
          <w:b w:val="0"/>
          <w:kern w:val="0"/>
          <w:sz w:val="32"/>
          <w:szCs w:val="32"/>
        </w:rPr>
        <w:t>四、考生所需提交材料</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1.本人有效身份证件扫描件1份，初试准考证1份；</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2.本人近期上半身免冠近照1张，要求五官清晰，具有完全的辨识度；</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3.应届本科毕业生需要提供注册信息完整的学生证（或教育部学籍在线验证报告）扫描件。在2020年入学前可取得国家承认的本科毕业证书的自学考试和网络教育本科生，须出示颁发毕业证书的省级高等教育自学考试办公室或网络教育高校出具的相关证明扫描件（复印件）；</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4.往届毕业生需要提供毕业证书或教育部学历证书电子注册备案表或中国高等教育学历认证报告的扫描件1份；国（境）外获得学历、学位的须提供由教育部留学服务中心出具的国外学历学位认证扫描件1份，获得学历、学位时间以认证书上认定的时间为准；</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5.同等学历考生、工商管理硕士、公共管理硕士需要提供符合招生录取规定年限的毕业证书或教育部学历证书电子注册备案表或中国高等教育学历认证报告的扫描件1份；</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6.经审查学历（学籍）信息有疑义的考生须在规定时间内提供权威机构出具的认证证明，否则不予录取；</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7.“退役大学生士兵专项计划”考生需要提供本人《入伍批准书》和《退出现役证》扫描件各1份；</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8.符合加分政策的考生请向长春工业大学研招办登记（联系电话：0431-85716566），上交相关证明材料，研招办将对证明材料进行核实；</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9.《长春工业大学2020年硕士研究生招生诚信复试承诺书》（附件2）扫描件1份，考生下载后填写；</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10．《长春工业大学2020年申请硕士研究生复试考生基本情况表》（附件3）扫描件1份，考生下载后填写；</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11．《长春工业大学2020年硕士研究生招生复试政审表》（附件4）扫描件1份，考生下载后填写盖章；</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12．学院要求提交的其他材料</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（1）大学成绩单扫描件1份。</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（2）毕业论文材料1份，要求材料内容有论文题目、主要研究内容、论文中英文摘要和论文关键词，文件用Word或PDF编辑。</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（3）科研成果材料：1.发表论文的文章内容扫描件或论文录用通知扫描件；2.竞赛获奖证书扫描件。</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（4）学习和工作经历，需用Word编辑学习和工作经历，由高中起。</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资格审查未通过或在面试过程中发现身份不符的考生将直接取消复试资格，责任由考生自负。</w:t>
      </w:r>
    </w:p>
    <w:p>
      <w:pPr>
        <w:pStyle w:val="7"/>
        <w:spacing w:line="560" w:lineRule="exact"/>
        <w:ind w:firstLine="555"/>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以上所述材料需提前3天在学信网远程面试系统中上传，并在入学时须提供原件，以备入学资格核查，对材料不符或弄虚做假者，取消录取资格。</w:t>
      </w:r>
    </w:p>
    <w:p>
      <w:pPr>
        <w:pStyle w:val="7"/>
        <w:spacing w:line="560" w:lineRule="exact"/>
        <w:ind w:firstLine="640" w:firstLineChars="200"/>
        <w:jc w:val="both"/>
        <w:rPr>
          <w:rStyle w:val="11"/>
          <w:rFonts w:ascii="黑体" w:hAnsi="黑体" w:eastAsia="黑体" w:cstheme="minorEastAsia"/>
          <w:b w:val="0"/>
          <w:sz w:val="32"/>
          <w:szCs w:val="32"/>
        </w:rPr>
      </w:pPr>
      <w:r>
        <w:rPr>
          <w:rStyle w:val="11"/>
          <w:rFonts w:hint="eastAsia" w:ascii="黑体" w:hAnsi="黑体" w:eastAsia="黑体" w:cstheme="minorEastAsia"/>
          <w:b w:val="0"/>
          <w:sz w:val="32"/>
          <w:szCs w:val="32"/>
        </w:rPr>
        <w:t>五、复试平台</w:t>
      </w:r>
    </w:p>
    <w:p>
      <w:pPr>
        <w:pStyle w:val="7"/>
        <w:spacing w:line="560" w:lineRule="exact"/>
        <w:ind w:firstLine="640" w:firstLineChars="200"/>
        <w:jc w:val="both"/>
        <w:rPr>
          <w:rStyle w:val="11"/>
          <w:rFonts w:ascii="仿宋" w:hAnsi="仿宋" w:eastAsia="仿宋" w:cs="仿宋"/>
          <w:b w:val="0"/>
          <w:sz w:val="32"/>
          <w:szCs w:val="32"/>
        </w:rPr>
      </w:pPr>
      <w:r>
        <w:rPr>
          <w:rStyle w:val="11"/>
          <w:rFonts w:hint="eastAsia" w:ascii="仿宋" w:hAnsi="仿宋" w:eastAsia="仿宋" w:cs="仿宋"/>
          <w:b w:val="0"/>
          <w:sz w:val="32"/>
          <w:szCs w:val="32"/>
        </w:rPr>
        <w:t>学校统一复试平台，选用学信网开发推广的招生远程面试系统。备用平台为腾讯会议。</w:t>
      </w:r>
    </w:p>
    <w:p>
      <w:pPr>
        <w:pStyle w:val="7"/>
        <w:spacing w:line="560" w:lineRule="exact"/>
        <w:ind w:firstLine="640" w:firstLineChars="200"/>
        <w:jc w:val="both"/>
        <w:rPr>
          <w:rStyle w:val="11"/>
          <w:rFonts w:ascii="黑体" w:hAnsi="黑体" w:eastAsia="黑体" w:cstheme="minorEastAsia"/>
          <w:b w:val="0"/>
          <w:sz w:val="32"/>
          <w:szCs w:val="32"/>
        </w:rPr>
      </w:pPr>
      <w:r>
        <w:rPr>
          <w:rStyle w:val="11"/>
          <w:rFonts w:hint="eastAsia" w:ascii="黑体" w:hAnsi="黑体" w:eastAsia="黑体" w:cstheme="minorEastAsia"/>
          <w:b w:val="0"/>
          <w:sz w:val="32"/>
          <w:szCs w:val="32"/>
        </w:rPr>
        <w:t>六、复试时间、内容和方式</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1.学生网络远程调试系统时间：2020年5月14日（星期四）下午14：00；</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2.统计学专业网络远程复试时间：2020年5月18日-5月19日（星期一至星期二）上午9：00开始；</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3.数学专业网络远程复试时间：2020年5月18日（星期一）上午9：00开始；</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4.应用统计专业网络远程复试时间：5月19日（星期二）上午11：00开始。</w:t>
      </w:r>
    </w:p>
    <w:p>
      <w:pPr>
        <w:ind w:firstLine="640" w:firstLineChars="200"/>
        <w:rPr>
          <w:rStyle w:val="11"/>
          <w:rFonts w:ascii="仿宋" w:hAnsi="仿宋" w:eastAsia="仿宋" w:cstheme="minorEastAsia"/>
          <w:b w:val="0"/>
          <w:kern w:val="0"/>
          <w:sz w:val="32"/>
          <w:szCs w:val="32"/>
        </w:rPr>
      </w:pPr>
      <w:r>
        <w:rPr>
          <w:rStyle w:val="11"/>
          <w:rFonts w:hint="eastAsia" w:ascii="仿宋" w:hAnsi="仿宋" w:eastAsia="仿宋" w:cstheme="minorEastAsia"/>
          <w:b w:val="0"/>
          <w:kern w:val="0"/>
          <w:sz w:val="32"/>
          <w:szCs w:val="32"/>
        </w:rPr>
        <w:t>5.综合能力面试</w:t>
      </w:r>
    </w:p>
    <w:p>
      <w:pPr>
        <w:pStyle w:val="7"/>
        <w:spacing w:line="560" w:lineRule="exact"/>
        <w:ind w:firstLine="555"/>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综合能力面试采取口试方式进行，满分100分，每位考生面试时间不少于20分钟，其中外语口语测试时间为3-4分钟。复试试题由学院提前组织命制，建立复试题库，在复试时随机抽取。复试题要以综合性、开放性的能力型试题为主。面试老师当场评分，成绩取平均分。</w:t>
      </w:r>
    </w:p>
    <w:p>
      <w:pPr>
        <w:pStyle w:val="7"/>
        <w:spacing w:line="560" w:lineRule="exact"/>
        <w:ind w:firstLine="555"/>
        <w:jc w:val="both"/>
        <w:rPr>
          <w:rStyle w:val="11"/>
          <w:rFonts w:ascii="黑体" w:hAnsi="黑体" w:eastAsia="黑体" w:cstheme="minorEastAsia"/>
          <w:b w:val="0"/>
          <w:sz w:val="32"/>
          <w:szCs w:val="32"/>
        </w:rPr>
      </w:pPr>
      <w:r>
        <w:rPr>
          <w:rStyle w:val="11"/>
          <w:rFonts w:hint="eastAsia" w:ascii="黑体" w:hAnsi="黑体" w:eastAsia="黑体" w:cstheme="minorEastAsia"/>
          <w:b w:val="0"/>
          <w:sz w:val="32"/>
          <w:szCs w:val="32"/>
        </w:rPr>
        <w:t>七、复试具体实施办法</w:t>
      </w:r>
    </w:p>
    <w:p>
      <w:pPr>
        <w:pStyle w:val="7"/>
        <w:wordWrap w:val="0"/>
        <w:spacing w:line="540" w:lineRule="atLeast"/>
        <w:ind w:firstLine="640"/>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1.复试面试专业课采取网络远程的方式进行，各专业网络远程考试科目具体如下：</w:t>
      </w:r>
    </w:p>
    <w:p>
      <w:pPr>
        <w:pStyle w:val="7"/>
        <w:wordWrap w:val="0"/>
        <w:spacing w:line="540" w:lineRule="atLeast"/>
        <w:ind w:firstLine="640"/>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统计学专业：数理统计</w:t>
      </w:r>
    </w:p>
    <w:p>
      <w:pPr>
        <w:pStyle w:val="7"/>
        <w:wordWrap w:val="0"/>
        <w:spacing w:line="540" w:lineRule="atLeast"/>
        <w:ind w:firstLine="640"/>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数  学专业：概率论与数理统计</w:t>
      </w:r>
    </w:p>
    <w:p>
      <w:pPr>
        <w:pStyle w:val="7"/>
        <w:wordWrap w:val="0"/>
        <w:spacing w:line="540" w:lineRule="atLeast"/>
        <w:ind w:firstLine="640"/>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应用统计专业：概率论</w:t>
      </w:r>
    </w:p>
    <w:p>
      <w:pPr>
        <w:pStyle w:val="7"/>
        <w:spacing w:line="560" w:lineRule="exact"/>
        <w:ind w:firstLine="640" w:firstLineChars="200"/>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 xml:space="preserve">2.面试内容及评分标准： </w:t>
      </w:r>
    </w:p>
    <w:p>
      <w:pPr>
        <w:pStyle w:val="7"/>
        <w:spacing w:line="560" w:lineRule="exact"/>
        <w:ind w:firstLine="555"/>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基本素质占20分：考查考生政治态度、社会主义核心价值观、思想表现、学习（工作）态度、道德品质、守法表现、奖惩情况。</w:t>
      </w:r>
    </w:p>
    <w:p>
      <w:pPr>
        <w:pStyle w:val="7"/>
        <w:spacing w:line="560" w:lineRule="exact"/>
        <w:ind w:firstLine="555"/>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外语水平占20分：考查考生外语的听、说、读等能力，一般应包括公共外语和专业外语。主要从语言准确性、话语的长短和连贯性、语言的灵活性和适合性等方面考查。</w:t>
      </w:r>
    </w:p>
    <w:p>
      <w:pPr>
        <w:pStyle w:val="7"/>
        <w:spacing w:line="560" w:lineRule="exact"/>
        <w:ind w:firstLine="555"/>
        <w:jc w:val="both"/>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基础知识和专业知识占30分：考查考生对基础知识和专业知识掌握的情况，了解本科期间的学习、工作及奖励等情况。</w:t>
      </w:r>
    </w:p>
    <w:p>
      <w:pPr>
        <w:pStyle w:val="7"/>
        <w:wordWrap w:val="0"/>
        <w:spacing w:line="540" w:lineRule="atLeast"/>
        <w:ind w:firstLine="640"/>
        <w:rPr>
          <w:rStyle w:val="11"/>
          <w:rFonts w:ascii="仿宋" w:hAnsi="仿宋" w:eastAsia="仿宋" w:cstheme="minorEastAsia"/>
          <w:b w:val="0"/>
          <w:sz w:val="32"/>
          <w:szCs w:val="32"/>
        </w:rPr>
      </w:pPr>
      <w:r>
        <w:rPr>
          <w:rStyle w:val="11"/>
          <w:rFonts w:hint="eastAsia" w:ascii="仿宋" w:hAnsi="仿宋" w:eastAsia="仿宋" w:cstheme="minorEastAsia"/>
          <w:b w:val="0"/>
          <w:sz w:val="32"/>
          <w:szCs w:val="32"/>
        </w:rPr>
        <w:t>综合能力占30分：考查考生综合运用所学知识的能力、科研创新能力、对本学科前沿领域及最新研究动态的掌握情况。判断考生是否具备硕士生培养的潜能和素质。</w:t>
      </w:r>
    </w:p>
    <w:p>
      <w:pPr>
        <w:pStyle w:val="7"/>
        <w:wordWrap w:val="0"/>
        <w:spacing w:line="540" w:lineRule="atLeast"/>
        <w:ind w:firstLine="640" w:firstLineChars="200"/>
        <w:rPr>
          <w:rFonts w:ascii="仿宋" w:hAnsi="仿宋" w:eastAsia="仿宋" w:cstheme="minorEastAsia"/>
          <w:sz w:val="32"/>
          <w:szCs w:val="32"/>
        </w:rPr>
      </w:pPr>
      <w:r>
        <w:rPr>
          <w:rStyle w:val="11"/>
          <w:rFonts w:hint="eastAsia" w:ascii="仿宋" w:hAnsi="仿宋" w:eastAsia="仿宋" w:cstheme="minorEastAsia"/>
          <w:b w:val="0"/>
          <w:sz w:val="32"/>
          <w:szCs w:val="32"/>
        </w:rPr>
        <w:t>3.总成绩=初试成绩(500分满分)/5*7</w:t>
      </w:r>
      <w:r>
        <w:rPr>
          <w:rFonts w:hint="eastAsia" w:ascii="仿宋" w:hAnsi="仿宋" w:eastAsia="仿宋" w:cstheme="minorEastAsia"/>
          <w:sz w:val="32"/>
          <w:szCs w:val="32"/>
        </w:rPr>
        <w:t>0%+复试成绩*30%。</w:t>
      </w:r>
    </w:p>
    <w:p>
      <w:pPr>
        <w:pStyle w:val="7"/>
        <w:wordWrap w:val="0"/>
        <w:spacing w:line="540" w:lineRule="atLeast"/>
        <w:ind w:firstLine="640" w:firstLineChars="200"/>
        <w:rPr>
          <w:rFonts w:ascii="仿宋" w:hAnsi="仿宋" w:eastAsia="仿宋" w:cstheme="minorEastAsia"/>
          <w:sz w:val="32"/>
          <w:szCs w:val="32"/>
        </w:rPr>
      </w:pPr>
      <w:r>
        <w:rPr>
          <w:rFonts w:hint="eastAsia" w:ascii="仿宋" w:hAnsi="仿宋" w:eastAsia="仿宋" w:cstheme="minorEastAsia"/>
          <w:sz w:val="32"/>
          <w:szCs w:val="32"/>
        </w:rPr>
        <w:t>4.同等学力考生参加复试时需加试两门大学本科主干课程，两科加试科目也在面试中体现，每科不少于5分钟。各专业加试科目如下：</w:t>
      </w:r>
    </w:p>
    <w:p>
      <w:pPr>
        <w:spacing w:line="360" w:lineRule="auto"/>
        <w:ind w:firstLine="488"/>
        <w:rPr>
          <w:rFonts w:ascii="仿宋" w:hAnsi="仿宋" w:eastAsia="仿宋" w:cstheme="minorEastAsia"/>
          <w:kern w:val="0"/>
          <w:sz w:val="32"/>
          <w:szCs w:val="32"/>
        </w:rPr>
      </w:pPr>
      <w:r>
        <w:rPr>
          <w:rFonts w:hint="eastAsia" w:ascii="仿宋" w:hAnsi="仿宋" w:eastAsia="仿宋" w:cstheme="minorEastAsia"/>
          <w:kern w:val="0"/>
          <w:sz w:val="32"/>
          <w:szCs w:val="32"/>
        </w:rPr>
        <w:t>统计学：概率论和多元统计分析</w:t>
      </w:r>
    </w:p>
    <w:p>
      <w:pPr>
        <w:spacing w:line="360" w:lineRule="auto"/>
        <w:ind w:firstLine="488"/>
        <w:rPr>
          <w:rFonts w:ascii="仿宋" w:hAnsi="仿宋" w:eastAsia="仿宋" w:cstheme="minorEastAsia"/>
          <w:kern w:val="0"/>
          <w:sz w:val="32"/>
          <w:szCs w:val="32"/>
        </w:rPr>
      </w:pPr>
      <w:r>
        <w:rPr>
          <w:rFonts w:hint="eastAsia" w:ascii="仿宋" w:hAnsi="仿宋" w:eastAsia="仿宋" w:cstheme="minorEastAsia"/>
          <w:kern w:val="0"/>
          <w:sz w:val="32"/>
          <w:szCs w:val="32"/>
        </w:rPr>
        <w:t>数  学：常微分方程和数值分析</w:t>
      </w:r>
    </w:p>
    <w:p>
      <w:pPr>
        <w:spacing w:line="360" w:lineRule="auto"/>
        <w:ind w:firstLine="488"/>
        <w:rPr>
          <w:rFonts w:ascii="仿宋" w:hAnsi="仿宋" w:eastAsia="仿宋" w:cstheme="minorEastAsia"/>
          <w:kern w:val="0"/>
          <w:sz w:val="32"/>
          <w:szCs w:val="32"/>
        </w:rPr>
      </w:pPr>
      <w:r>
        <w:rPr>
          <w:rFonts w:hint="eastAsia" w:ascii="仿宋" w:hAnsi="仿宋" w:eastAsia="仿宋" w:cstheme="minorEastAsia"/>
          <w:kern w:val="0"/>
          <w:sz w:val="32"/>
          <w:szCs w:val="32"/>
        </w:rPr>
        <w:t>应用统计：数理统计和回归分析</w:t>
      </w:r>
    </w:p>
    <w:p>
      <w:pPr>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5.对于初试成绩合格且按同等学力报考的考生，要加试两门与报考专业相关的本科主干课程。加试科目不得与初试科目相同。</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6.复试中发现考生综合素质不合格的，复试面试小组有权直接提出复试不合格意见，必要时可对考生再次进行复试。</w:t>
      </w:r>
    </w:p>
    <w:p>
      <w:pPr>
        <w:ind w:firstLine="648" w:firstLineChars="200"/>
        <w:rPr>
          <w:rFonts w:ascii="仿宋" w:hAnsi="仿宋" w:eastAsia="仿宋" w:cstheme="minorEastAsia"/>
          <w:color w:val="000000"/>
          <w:spacing w:val="2"/>
          <w:sz w:val="32"/>
          <w:szCs w:val="32"/>
        </w:rPr>
      </w:pPr>
      <w:r>
        <w:rPr>
          <w:rFonts w:hint="eastAsia" w:ascii="仿宋" w:hAnsi="仿宋" w:eastAsia="仿宋" w:cstheme="minorEastAsia"/>
          <w:color w:val="000000"/>
          <w:spacing w:val="2"/>
          <w:sz w:val="32"/>
          <w:szCs w:val="32"/>
        </w:rPr>
        <w:t>7.复试结束后，学院将复试结果上报学校，批准后在研究生院网页上公布。</w:t>
      </w:r>
    </w:p>
    <w:p>
      <w:pPr>
        <w:pStyle w:val="7"/>
        <w:wordWrap w:val="0"/>
        <w:spacing w:line="540" w:lineRule="atLeast"/>
        <w:ind w:firstLine="640"/>
        <w:rPr>
          <w:rFonts w:ascii="黑体" w:hAnsi="黑体" w:eastAsia="黑体" w:cstheme="minorEastAsia"/>
          <w:color w:val="000000"/>
          <w:spacing w:val="2"/>
          <w:sz w:val="32"/>
          <w:szCs w:val="32"/>
        </w:rPr>
      </w:pPr>
      <w:r>
        <w:rPr>
          <w:rFonts w:hint="eastAsia" w:ascii="黑体" w:hAnsi="黑体" w:eastAsia="黑体" w:cstheme="minorEastAsia"/>
          <w:color w:val="000000"/>
          <w:spacing w:val="2"/>
          <w:sz w:val="32"/>
          <w:szCs w:val="32"/>
        </w:rPr>
        <w:t>八、复试工作要求</w:t>
      </w:r>
    </w:p>
    <w:p>
      <w:pPr>
        <w:pStyle w:val="7"/>
        <w:ind w:firstLine="640" w:firstLineChars="200"/>
        <w:jc w:val="both"/>
        <w:rPr>
          <w:rFonts w:ascii="仿宋" w:hAnsi="仿宋" w:eastAsia="仿宋" w:cstheme="minorEastAsia"/>
          <w:color w:val="000000"/>
          <w:spacing w:val="2"/>
          <w:sz w:val="32"/>
          <w:szCs w:val="32"/>
        </w:rPr>
      </w:pPr>
      <w:r>
        <w:rPr>
          <w:rFonts w:hint="eastAsia" w:ascii="仿宋" w:hAnsi="仿宋" w:eastAsia="仿宋" w:cstheme="minorEastAsia"/>
          <w:kern w:val="2"/>
          <w:sz w:val="32"/>
          <w:szCs w:val="32"/>
        </w:rPr>
        <w:t>1.加强诚信评判和作弊考生查处。学校将诚信考核作为重要环节纳入复试工作，强化对考生诚信的要求。对弄虚作假及考试违规、作弊的考生，一律按照《国家教育考试违规处理办法》和《普通高等学校学生管理规定》等严肃处理。</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学院成立由研究生导师组成的5人复试小组，复试小组名单上报学校研招办审核、备案。复试小组中要有外语水平较高，负责外语口语测试的成员。小组成员须现场独立评分，评分记录和考生作答情况要交研究生院招生工作办公室集中统一保管，任何人不得改动。</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3.学院复试过程要进行全程录音录像，不允许任何人干预复试录取结果。</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4.学院组织多批次复试，分为一志愿考生和调剂考生，复试试题应掌握同一命题标准，从命题题库中抽取。</w:t>
      </w:r>
    </w:p>
    <w:p>
      <w:pPr>
        <w:pStyle w:val="7"/>
        <w:wordWrap w:val="0"/>
        <w:spacing w:line="540" w:lineRule="atLeast"/>
        <w:ind w:firstLine="640"/>
        <w:rPr>
          <w:rFonts w:ascii="黑体" w:hAnsi="黑体" w:eastAsia="黑体" w:cstheme="minorEastAsia"/>
          <w:color w:val="000000"/>
          <w:spacing w:val="2"/>
          <w:sz w:val="32"/>
          <w:szCs w:val="32"/>
        </w:rPr>
      </w:pPr>
      <w:r>
        <w:rPr>
          <w:rFonts w:hint="eastAsia" w:ascii="黑体" w:hAnsi="黑体" w:eastAsia="黑体" w:cstheme="minorEastAsia"/>
          <w:color w:val="000000"/>
          <w:spacing w:val="2"/>
          <w:sz w:val="32"/>
          <w:szCs w:val="32"/>
        </w:rPr>
        <w:t>九、录取</w:t>
      </w:r>
    </w:p>
    <w:p>
      <w:pPr>
        <w:pStyle w:val="7"/>
        <w:wordWrap w:val="0"/>
        <w:spacing w:line="540" w:lineRule="atLeast"/>
        <w:ind w:firstLine="640"/>
        <w:rPr>
          <w:rFonts w:ascii="楷体" w:hAnsi="楷体" w:eastAsia="楷体" w:cstheme="minorEastAsia"/>
          <w:color w:val="000000"/>
          <w:sz w:val="32"/>
          <w:szCs w:val="32"/>
        </w:rPr>
      </w:pPr>
      <w:r>
        <w:rPr>
          <w:rFonts w:hint="eastAsia" w:ascii="楷体" w:hAnsi="楷体" w:eastAsia="楷体" w:cstheme="minorEastAsia"/>
          <w:color w:val="000000"/>
          <w:sz w:val="32"/>
          <w:szCs w:val="32"/>
        </w:rPr>
        <w:t>（一）总成绩排名方式</w:t>
      </w:r>
    </w:p>
    <w:p>
      <w:pPr>
        <w:pStyle w:val="7"/>
        <w:wordWrap w:val="0"/>
        <w:spacing w:line="540" w:lineRule="atLeast"/>
        <w:ind w:firstLine="640"/>
        <w:rPr>
          <w:rFonts w:ascii="仿宋" w:hAnsi="仿宋" w:eastAsia="仿宋" w:cstheme="minorEastAsia"/>
          <w:color w:val="000000"/>
          <w:sz w:val="32"/>
          <w:szCs w:val="32"/>
        </w:rPr>
      </w:pPr>
      <w:r>
        <w:rPr>
          <w:rFonts w:hint="eastAsia" w:ascii="仿宋" w:hAnsi="仿宋" w:eastAsia="仿宋" w:cstheme="minorEastAsia"/>
          <w:color w:val="000000"/>
          <w:sz w:val="32"/>
          <w:szCs w:val="32"/>
        </w:rPr>
        <w:t>1.全日制考生和非全日制考生分别按总成绩由高到低排序。</w:t>
      </w:r>
    </w:p>
    <w:p>
      <w:pPr>
        <w:pStyle w:val="7"/>
        <w:wordWrap w:val="0"/>
        <w:spacing w:line="540" w:lineRule="atLeast"/>
        <w:ind w:firstLine="640"/>
        <w:rPr>
          <w:rFonts w:ascii="仿宋" w:hAnsi="仿宋" w:eastAsia="仿宋" w:cstheme="minorEastAsia"/>
          <w:color w:val="000000"/>
          <w:sz w:val="32"/>
          <w:szCs w:val="32"/>
        </w:rPr>
      </w:pPr>
      <w:r>
        <w:rPr>
          <w:rFonts w:hint="eastAsia" w:ascii="仿宋" w:hAnsi="仿宋" w:eastAsia="仿宋" w:cstheme="minorEastAsia"/>
          <w:color w:val="000000"/>
          <w:sz w:val="32"/>
          <w:szCs w:val="32"/>
        </w:rPr>
        <w:t>2.一志愿考生与调剂考生分别按总成绩由高到低排序。</w:t>
      </w:r>
    </w:p>
    <w:p>
      <w:pPr>
        <w:pStyle w:val="7"/>
        <w:spacing w:line="560" w:lineRule="exact"/>
        <w:ind w:firstLine="555"/>
        <w:jc w:val="both"/>
        <w:rPr>
          <w:rStyle w:val="11"/>
          <w:rFonts w:ascii="楷体" w:hAnsi="楷体" w:eastAsia="楷体" w:cstheme="minorEastAsia"/>
          <w:b w:val="0"/>
          <w:sz w:val="32"/>
          <w:szCs w:val="32"/>
        </w:rPr>
      </w:pPr>
      <w:r>
        <w:rPr>
          <w:rStyle w:val="11"/>
          <w:rFonts w:hint="eastAsia" w:ascii="楷体" w:hAnsi="楷体" w:eastAsia="楷体" w:cstheme="minorEastAsia"/>
          <w:b w:val="0"/>
          <w:sz w:val="32"/>
          <w:szCs w:val="32"/>
        </w:rPr>
        <w:t>（二）录取原则</w:t>
      </w:r>
    </w:p>
    <w:p>
      <w:pPr>
        <w:pStyle w:val="7"/>
        <w:spacing w:line="560" w:lineRule="exact"/>
        <w:ind w:firstLine="555"/>
        <w:jc w:val="both"/>
        <w:rPr>
          <w:rFonts w:ascii="仿宋" w:hAnsi="仿宋" w:eastAsia="仿宋" w:cstheme="minorEastAsia"/>
          <w:sz w:val="32"/>
          <w:szCs w:val="32"/>
        </w:rPr>
      </w:pPr>
      <w:r>
        <w:rPr>
          <w:rFonts w:hint="eastAsia" w:ascii="仿宋" w:hAnsi="仿宋" w:eastAsia="仿宋" w:cstheme="minorEastAsia"/>
          <w:sz w:val="32"/>
          <w:szCs w:val="32"/>
        </w:rPr>
        <w:t>1.学校将依据考生初试成绩、复试成绩、思想政治表现、身体健康状况等择优确定拟录取名单。</w:t>
      </w:r>
    </w:p>
    <w:p>
      <w:pPr>
        <w:pStyle w:val="7"/>
        <w:spacing w:line="560" w:lineRule="exact"/>
        <w:ind w:firstLine="555"/>
        <w:jc w:val="both"/>
        <w:rPr>
          <w:rFonts w:ascii="仿宋" w:hAnsi="仿宋" w:eastAsia="仿宋" w:cstheme="minorEastAsia"/>
          <w:sz w:val="32"/>
          <w:szCs w:val="32"/>
        </w:rPr>
      </w:pPr>
      <w:r>
        <w:rPr>
          <w:rFonts w:hint="eastAsia" w:ascii="仿宋" w:hAnsi="仿宋" w:eastAsia="仿宋" w:cstheme="minorEastAsia"/>
          <w:sz w:val="32"/>
          <w:szCs w:val="32"/>
        </w:rPr>
        <w:t>2.考生接受待录取通知后，原则上不予解除。</w:t>
      </w:r>
    </w:p>
    <w:p>
      <w:pPr>
        <w:pStyle w:val="7"/>
        <w:spacing w:line="560" w:lineRule="exact"/>
        <w:ind w:firstLine="555"/>
        <w:jc w:val="both"/>
        <w:rPr>
          <w:rFonts w:ascii="仿宋" w:hAnsi="仿宋" w:eastAsia="仿宋" w:cstheme="minorEastAsia"/>
          <w:sz w:val="32"/>
          <w:szCs w:val="32"/>
        </w:rPr>
      </w:pPr>
      <w:r>
        <w:rPr>
          <w:rFonts w:hint="eastAsia" w:ascii="仿宋" w:hAnsi="仿宋" w:eastAsia="仿宋" w:cstheme="minorEastAsia"/>
          <w:sz w:val="32"/>
          <w:szCs w:val="32"/>
        </w:rPr>
        <w:t>3.复试成绩不合格考生，不予录取。</w:t>
      </w:r>
    </w:p>
    <w:p>
      <w:pPr>
        <w:pStyle w:val="7"/>
        <w:spacing w:line="560" w:lineRule="exact"/>
        <w:ind w:firstLine="555"/>
        <w:jc w:val="both"/>
        <w:rPr>
          <w:rFonts w:ascii="仿宋" w:hAnsi="仿宋" w:eastAsia="仿宋" w:cstheme="minorEastAsia"/>
          <w:sz w:val="32"/>
          <w:szCs w:val="32"/>
        </w:rPr>
      </w:pPr>
      <w:r>
        <w:rPr>
          <w:rFonts w:hint="eastAsia" w:ascii="仿宋" w:hAnsi="仿宋" w:eastAsia="仿宋" w:cstheme="minorEastAsia"/>
          <w:sz w:val="32"/>
          <w:szCs w:val="32"/>
        </w:rPr>
        <w:t>4.定向就业的硕士研究生须在被录取前与学校、所在单位分别签订定向就业合同。考生因报考硕士研究生与所在单位产生的问题由考生自行处理。若因此造成考生不能复试或无法录取，学校不承担任何责任。</w:t>
      </w:r>
    </w:p>
    <w:p>
      <w:pPr>
        <w:pStyle w:val="7"/>
        <w:wordWrap w:val="0"/>
        <w:spacing w:line="540" w:lineRule="atLeast"/>
        <w:ind w:firstLine="640"/>
        <w:rPr>
          <w:rFonts w:ascii="仿宋" w:hAnsi="仿宋" w:eastAsia="仿宋" w:cstheme="majorEastAsia"/>
          <w:color w:val="000000"/>
          <w:sz w:val="32"/>
          <w:szCs w:val="32"/>
        </w:rPr>
      </w:pPr>
    </w:p>
    <w:p>
      <w:pPr>
        <w:pStyle w:val="7"/>
        <w:wordWrap w:val="0"/>
        <w:spacing w:line="540" w:lineRule="atLeast"/>
        <w:ind w:firstLine="640"/>
        <w:rPr>
          <w:rFonts w:ascii="仿宋" w:hAnsi="仿宋" w:eastAsia="仿宋" w:cstheme="majorEastAsia"/>
          <w:color w:val="000000"/>
          <w:sz w:val="32"/>
          <w:szCs w:val="32"/>
        </w:rPr>
      </w:pPr>
    </w:p>
    <w:p>
      <w:pPr>
        <w:pStyle w:val="7"/>
        <w:wordWrap w:val="0"/>
        <w:spacing w:line="540" w:lineRule="atLeast"/>
        <w:ind w:firstLine="640"/>
        <w:rPr>
          <w:rFonts w:ascii="仿宋" w:hAnsi="仿宋" w:eastAsia="仿宋" w:cstheme="majorEastAsia"/>
          <w:color w:val="000000"/>
          <w:sz w:val="32"/>
          <w:szCs w:val="32"/>
        </w:rPr>
      </w:pPr>
    </w:p>
    <w:p>
      <w:pPr>
        <w:ind w:firstLine="6080" w:firstLineChars="1900"/>
        <w:rPr>
          <w:rFonts w:ascii="仿宋" w:hAnsi="仿宋" w:eastAsia="仿宋" w:cstheme="majorEastAsia"/>
          <w:sz w:val="32"/>
          <w:szCs w:val="32"/>
        </w:rPr>
      </w:pPr>
      <w:r>
        <w:rPr>
          <w:rFonts w:hint="eastAsia" w:ascii="仿宋" w:hAnsi="仿宋" w:eastAsia="仿宋" w:cstheme="majorEastAsia"/>
          <w:sz w:val="32"/>
          <w:szCs w:val="32"/>
        </w:rPr>
        <w:t>数学与统计学院</w:t>
      </w:r>
    </w:p>
    <w:p>
      <w:pPr>
        <w:ind w:firstLine="6080" w:firstLineChars="1900"/>
        <w:rPr>
          <w:rFonts w:ascii="仿宋" w:hAnsi="仿宋" w:eastAsia="仿宋" w:cstheme="majorEastAsia"/>
          <w:sz w:val="32"/>
          <w:szCs w:val="32"/>
        </w:rPr>
      </w:pPr>
      <w:r>
        <w:rPr>
          <w:rFonts w:hint="eastAsia" w:ascii="仿宋" w:hAnsi="仿宋" w:eastAsia="仿宋" w:cstheme="majorEastAsia"/>
          <w:sz w:val="32"/>
          <w:szCs w:val="32"/>
        </w:rPr>
        <w:t>2020年5月6日</w:t>
      </w:r>
    </w:p>
    <w:p>
      <w:pPr>
        <w:spacing w:line="360" w:lineRule="auto"/>
        <w:rPr>
          <w:rFonts w:ascii="仿宋" w:hAnsi="仿宋" w:eastAsia="仿宋" w:cs="宋体"/>
          <w:kern w:val="0"/>
          <w:sz w:val="32"/>
          <w:szCs w:val="32"/>
        </w:rPr>
      </w:pPr>
    </w:p>
    <w:p>
      <w:pPr>
        <w:pStyle w:val="7"/>
        <w:wordWrap w:val="0"/>
        <w:spacing w:line="540" w:lineRule="atLeast"/>
        <w:ind w:firstLine="640"/>
        <w:rPr>
          <w:rFonts w:ascii="仿宋" w:hAnsi="仿宋" w:eastAsia="仿宋"/>
          <w:sz w:val="32"/>
          <w:szCs w:val="32"/>
        </w:rPr>
      </w:pPr>
    </w:p>
    <w:p>
      <w:pPr>
        <w:pStyle w:val="7"/>
        <w:spacing w:line="560" w:lineRule="exact"/>
        <w:jc w:val="both"/>
        <w:rPr>
          <w:rFonts w:ascii="仿宋" w:hAnsi="仿宋" w:eastAsia="仿宋" w:cstheme="majorEastAsia"/>
          <w:color w:val="000000"/>
          <w:sz w:val="32"/>
          <w:szCs w:val="32"/>
        </w:rPr>
      </w:pPr>
    </w:p>
    <w:p>
      <w:pPr>
        <w:rPr>
          <w:rFonts w:ascii="仿宋" w:hAnsi="仿宋" w:eastAsia="仿宋"/>
          <w:sz w:val="32"/>
          <w:szCs w:val="32"/>
        </w:rPr>
      </w:pPr>
    </w:p>
    <w:p>
      <w:pPr>
        <w:spacing w:line="560" w:lineRule="exact"/>
        <w:jc w:val="left"/>
        <w:rPr>
          <w:rFonts w:ascii="仿宋" w:hAnsi="仿宋" w:eastAsia="仿宋"/>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5580E"/>
    <w:rsid w:val="00467EAF"/>
    <w:rsid w:val="004E351C"/>
    <w:rsid w:val="00606E36"/>
    <w:rsid w:val="00626C23"/>
    <w:rsid w:val="00E27232"/>
    <w:rsid w:val="00FE003F"/>
    <w:rsid w:val="02451A48"/>
    <w:rsid w:val="02836BE6"/>
    <w:rsid w:val="03325A2D"/>
    <w:rsid w:val="07E51264"/>
    <w:rsid w:val="0F072726"/>
    <w:rsid w:val="0F382DDD"/>
    <w:rsid w:val="0F5E103C"/>
    <w:rsid w:val="13262B44"/>
    <w:rsid w:val="13E84165"/>
    <w:rsid w:val="1C673883"/>
    <w:rsid w:val="1F34385F"/>
    <w:rsid w:val="201752D0"/>
    <w:rsid w:val="2A55049A"/>
    <w:rsid w:val="2C974C54"/>
    <w:rsid w:val="33130635"/>
    <w:rsid w:val="349F0F65"/>
    <w:rsid w:val="36C5580E"/>
    <w:rsid w:val="3F27323F"/>
    <w:rsid w:val="47946127"/>
    <w:rsid w:val="4A28299C"/>
    <w:rsid w:val="4B2F29EE"/>
    <w:rsid w:val="4BA827B4"/>
    <w:rsid w:val="4C2170BD"/>
    <w:rsid w:val="580077E5"/>
    <w:rsid w:val="5D2A136D"/>
    <w:rsid w:val="5ED80484"/>
    <w:rsid w:val="60EB617C"/>
    <w:rsid w:val="62C50F9E"/>
    <w:rsid w:val="668855BF"/>
    <w:rsid w:val="68766B64"/>
    <w:rsid w:val="6BEC0AA7"/>
    <w:rsid w:val="6D535020"/>
    <w:rsid w:val="6F667528"/>
    <w:rsid w:val="7CBF4F81"/>
    <w:rsid w:val="7DB5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iPriority w:val="0"/>
    <w:rPr>
      <w:b/>
      <w:bCs/>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rPr>
  </w:style>
  <w:style w:type="character" w:styleId="9">
    <w:name w:val="annotation reference"/>
    <w:basedOn w:val="8"/>
    <w:qFormat/>
    <w:uiPriority w:val="0"/>
    <w:rPr>
      <w:sz w:val="21"/>
      <w:szCs w:val="21"/>
    </w:rPr>
  </w:style>
  <w:style w:type="character" w:customStyle="1" w:styleId="11">
    <w:name w:val="15"/>
    <w:basedOn w:val="8"/>
    <w:qFormat/>
    <w:uiPriority w:val="0"/>
    <w:rPr>
      <w:rFonts w:hint="default" w:ascii="Times New Roman" w:hAnsi="Times New Roman" w:cs="Times New Roman"/>
      <w:b/>
      <w:bCs/>
    </w:rPr>
  </w:style>
  <w:style w:type="character" w:customStyle="1" w:styleId="12">
    <w:name w:val="批注文字 字符"/>
    <w:basedOn w:val="8"/>
    <w:link w:val="3"/>
    <w:qFormat/>
    <w:uiPriority w:val="0"/>
    <w:rPr>
      <w:rFonts w:ascii="Calibri" w:hAnsi="Calibri" w:eastAsia="宋体" w:cs="Times New Roman"/>
      <w:kern w:val="2"/>
      <w:sz w:val="21"/>
      <w:szCs w:val="21"/>
    </w:rPr>
  </w:style>
  <w:style w:type="character" w:customStyle="1" w:styleId="13">
    <w:name w:val="批注主题 字符"/>
    <w:basedOn w:val="12"/>
    <w:link w:val="2"/>
    <w:qFormat/>
    <w:uiPriority w:val="0"/>
    <w:rPr>
      <w:rFonts w:ascii="Calibri" w:hAnsi="Calibri" w:eastAsia="宋体" w:cs="Times New Roman"/>
      <w:b/>
      <w:bCs/>
      <w:kern w:val="2"/>
      <w:sz w:val="21"/>
      <w:szCs w:val="21"/>
    </w:rPr>
  </w:style>
  <w:style w:type="character" w:customStyle="1" w:styleId="14">
    <w:name w:val="批注框文本 字符"/>
    <w:basedOn w:val="8"/>
    <w:link w:val="4"/>
    <w:qFormat/>
    <w:uiPriority w:val="0"/>
    <w:rPr>
      <w:rFonts w:ascii="Calibri" w:hAnsi="Calibri" w:eastAsia="宋体" w:cs="Times New Roman"/>
      <w:kern w:val="2"/>
      <w:sz w:val="18"/>
      <w:szCs w:val="18"/>
    </w:rPr>
  </w:style>
  <w:style w:type="character" w:customStyle="1" w:styleId="15">
    <w:name w:val="页眉 字符"/>
    <w:basedOn w:val="8"/>
    <w:link w:val="6"/>
    <w:qFormat/>
    <w:uiPriority w:val="0"/>
    <w:rPr>
      <w:rFonts w:ascii="Calibri" w:hAnsi="Calibri"/>
      <w:kern w:val="2"/>
      <w:sz w:val="18"/>
      <w:szCs w:val="18"/>
    </w:rPr>
  </w:style>
  <w:style w:type="character" w:customStyle="1" w:styleId="16">
    <w:name w:val="页脚 字符"/>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482</Words>
  <Characters>2750</Characters>
  <Lines>22</Lines>
  <Paragraphs>6</Paragraphs>
  <TotalTime>37</TotalTime>
  <ScaleCrop>false</ScaleCrop>
  <LinksUpToDate>false</LinksUpToDate>
  <CharactersWithSpaces>3226</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2020-05-05T13:50:00Z</dcterms:created>
  <dc:creator>hp</dc:creator>
  <cp:lastModifiedBy>hp</cp:lastModifiedBy>
  <dcterms:modified xsi:type="dcterms:W3CDTF">2020-05-13T02:59:02Z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